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B040EA" w:rsidRPr="004B4345" w:rsidRDefault="009A4737" w:rsidP="00B040EA">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E7143C">
        <w:rPr>
          <w:rFonts w:ascii="Arial" w:hAnsi="Arial" w:cs="Arial"/>
          <w:b/>
          <w:bCs/>
          <w:sz w:val="22"/>
          <w:szCs w:val="22"/>
        </w:rPr>
        <w:t>8022/24</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 xml:space="preserve">se sídlem </w:t>
      </w:r>
      <w:r w:rsidR="003B4599" w:rsidRPr="004B4345">
        <w:rPr>
          <w:rFonts w:ascii="Arial" w:hAnsi="Arial" w:cs="Arial"/>
          <w:bCs/>
          <w:sz w:val="20"/>
          <w:szCs w:val="22"/>
        </w:rPr>
        <w:t>Palackého nám. 46/II</w:t>
      </w:r>
      <w:r w:rsidR="003B4599">
        <w:rPr>
          <w:rFonts w:ascii="Arial" w:hAnsi="Arial" w:cs="Arial"/>
          <w:bCs/>
          <w:sz w:val="20"/>
          <w:szCs w:val="22"/>
        </w:rPr>
        <w:t>,</w:t>
      </w:r>
      <w:r w:rsidR="003B4599" w:rsidRPr="004B4345">
        <w:rPr>
          <w:rFonts w:ascii="Arial" w:hAnsi="Arial" w:cs="Arial"/>
          <w:bCs/>
          <w:sz w:val="20"/>
          <w:szCs w:val="22"/>
        </w:rPr>
        <w:t xml:space="preserve"> </w:t>
      </w:r>
      <w:r w:rsidRPr="004B4345">
        <w:rPr>
          <w:rFonts w:ascii="Arial" w:hAnsi="Arial" w:cs="Arial"/>
          <w:bCs/>
          <w:sz w:val="20"/>
          <w:szCs w:val="22"/>
        </w:rPr>
        <w:t xml:space="preserve">379 01 Třeboň, </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w:t>
      </w:r>
      <w:r w:rsidR="00E7143C">
        <w:rPr>
          <w:rFonts w:ascii="Arial" w:hAnsi="Arial" w:cs="Arial"/>
          <w:bCs/>
          <w:sz w:val="20"/>
          <w:szCs w:val="22"/>
        </w:rPr>
        <w:t>618, DIČ CZ00247618, plátce DPH,</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z</w:t>
      </w:r>
      <w:r w:rsidR="000D76E7" w:rsidRPr="004B4345">
        <w:rPr>
          <w:rFonts w:ascii="Arial" w:hAnsi="Arial" w:cs="Arial"/>
          <w:sz w:val="20"/>
          <w:szCs w:val="22"/>
        </w:rPr>
        <w:t xml:space="preserve">astoupené: </w:t>
      </w:r>
      <w:r w:rsidR="00822E19">
        <w:rPr>
          <w:rFonts w:ascii="Arial" w:hAnsi="Arial" w:cs="Arial"/>
          <w:sz w:val="20"/>
          <w:szCs w:val="22"/>
        </w:rPr>
        <w:t>PaedDr. Janem Váňou, starostou</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B</w:t>
      </w:r>
      <w:r w:rsidR="000D76E7" w:rsidRPr="004B4345">
        <w:rPr>
          <w:rFonts w:ascii="Arial" w:hAnsi="Arial" w:cs="Arial"/>
          <w:sz w:val="20"/>
          <w:szCs w:val="22"/>
        </w:rPr>
        <w:t>ankovní spojení: Česká spořitelna, č.</w:t>
      </w:r>
      <w:r w:rsidR="00500C69">
        <w:rPr>
          <w:rFonts w:ascii="Arial" w:hAnsi="Arial" w:cs="Arial"/>
          <w:sz w:val="20"/>
          <w:szCs w:val="22"/>
        </w:rPr>
        <w:t> </w:t>
      </w:r>
      <w:r>
        <w:rPr>
          <w:rFonts w:ascii="Arial" w:hAnsi="Arial" w:cs="Arial"/>
          <w:sz w:val="20"/>
          <w:szCs w:val="22"/>
        </w:rPr>
        <w:t>ú. 27-0603148389/0800</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T</w:t>
      </w:r>
      <w:r w:rsidR="000D76E7" w:rsidRPr="004B4345">
        <w:rPr>
          <w:rFonts w:ascii="Arial" w:hAnsi="Arial" w:cs="Arial"/>
          <w:sz w:val="20"/>
          <w:szCs w:val="22"/>
        </w:rPr>
        <w:t>elefon: 384 342 111,</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e-mail: posta@mesto-trebon.cz,</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w:t>
      </w:r>
      <w:r w:rsidR="003B4599">
        <w:rPr>
          <w:rFonts w:ascii="Arial" w:hAnsi="Arial" w:cs="Arial"/>
          <w:sz w:val="20"/>
          <w:szCs w:val="22"/>
        </w:rPr>
        <w:t> </w:t>
      </w:r>
      <w:r w:rsidRPr="004B4345">
        <w:rPr>
          <w:rFonts w:ascii="Arial" w:hAnsi="Arial" w:cs="Arial"/>
          <w:sz w:val="20"/>
          <w:szCs w:val="22"/>
        </w:rPr>
        <w:t>143</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ED5DFD">
        <w:rPr>
          <w:rFonts w:ascii="Arial" w:hAnsi="Arial" w:cs="Arial"/>
          <w:sz w:val="20"/>
          <w:szCs w:val="22"/>
        </w:rPr>
        <w:t>384 342</w:t>
      </w:r>
      <w:r w:rsidR="003B4599">
        <w:rPr>
          <w:rFonts w:ascii="Arial" w:hAnsi="Arial" w:cs="Arial"/>
          <w:sz w:val="20"/>
          <w:szCs w:val="22"/>
        </w:rPr>
        <w:t> </w:t>
      </w:r>
      <w:r w:rsidR="00ED5DFD">
        <w:rPr>
          <w:rFonts w:ascii="Arial" w:hAnsi="Arial" w:cs="Arial"/>
          <w:sz w:val="20"/>
          <w:szCs w:val="22"/>
        </w:rPr>
        <w:t>141</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3B4599" w:rsidP="000D76E7">
      <w:pPr>
        <w:autoSpaceDE w:val="0"/>
        <w:autoSpaceDN w:val="0"/>
        <w:adjustRightInd w:val="0"/>
        <w:rPr>
          <w:rFonts w:ascii="Arial" w:hAnsi="Arial" w:cs="Arial"/>
          <w:sz w:val="20"/>
          <w:szCs w:val="22"/>
        </w:rPr>
      </w:pPr>
      <w:r>
        <w:rPr>
          <w:rFonts w:ascii="Arial" w:hAnsi="Arial" w:cs="Arial"/>
          <w:sz w:val="20"/>
          <w:szCs w:val="22"/>
        </w:rPr>
        <w:t>s</w:t>
      </w:r>
      <w:r w:rsidR="000D76E7" w:rsidRPr="00004640">
        <w:rPr>
          <w:rFonts w:ascii="Arial" w:hAnsi="Arial" w:cs="Arial"/>
          <w:sz w:val="20"/>
          <w:szCs w:val="22"/>
        </w:rPr>
        <w:t>e sídlem:</w:t>
      </w:r>
      <w:r w:rsidR="000D76E7" w:rsidRPr="00004640">
        <w:rPr>
          <w:rFonts w:ascii="Arial" w:hAnsi="Arial" w:cs="Arial"/>
          <w:bCs/>
          <w:sz w:val="20"/>
          <w:szCs w:val="22"/>
        </w:rPr>
        <w:t xml:space="preserve"> XXX</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00E7143C">
        <w:rPr>
          <w:rFonts w:ascii="Arial" w:hAnsi="Arial" w:cs="Arial"/>
          <w:bCs/>
          <w:sz w:val="20"/>
          <w:szCs w:val="22"/>
        </w:rPr>
        <w:t xml:space="preserve">, </w:t>
      </w: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E7143C" w:rsidP="000D76E7">
      <w:pPr>
        <w:autoSpaceDE w:val="0"/>
        <w:autoSpaceDN w:val="0"/>
        <w:adjustRightInd w:val="0"/>
        <w:rPr>
          <w:rFonts w:ascii="Arial" w:hAnsi="Arial" w:cs="Arial"/>
          <w:sz w:val="20"/>
          <w:szCs w:val="22"/>
        </w:rPr>
      </w:pPr>
      <w:r>
        <w:rPr>
          <w:rFonts w:ascii="Arial" w:hAnsi="Arial" w:cs="Arial"/>
          <w:sz w:val="20"/>
          <w:szCs w:val="22"/>
        </w:rPr>
        <w:t>z</w:t>
      </w:r>
      <w:r w:rsidR="000D76E7" w:rsidRPr="00004640">
        <w:rPr>
          <w:rFonts w:ascii="Arial" w:hAnsi="Arial" w:cs="Arial"/>
          <w:sz w:val="20"/>
          <w:szCs w:val="22"/>
        </w:rPr>
        <w:t xml:space="preserve">astoupený: </w:t>
      </w:r>
      <w:r w:rsidR="000D76E7" w:rsidRPr="00004640">
        <w:rPr>
          <w:rFonts w:ascii="Arial" w:hAnsi="Arial" w:cs="Arial"/>
          <w:bCs/>
          <w:sz w:val="20"/>
          <w:szCs w:val="22"/>
        </w:rPr>
        <w:t>XXX</w:t>
      </w:r>
    </w:p>
    <w:p w:rsidR="000D76E7" w:rsidRPr="00004640" w:rsidRDefault="00FE7CBE" w:rsidP="000D76E7">
      <w:pPr>
        <w:autoSpaceDE w:val="0"/>
        <w:autoSpaceDN w:val="0"/>
        <w:adjustRightInd w:val="0"/>
        <w:rPr>
          <w:rFonts w:ascii="Arial" w:hAnsi="Arial" w:cs="Arial"/>
          <w:sz w:val="20"/>
          <w:szCs w:val="22"/>
        </w:rPr>
      </w:pPr>
      <w:r>
        <w:rPr>
          <w:rFonts w:ascii="Arial" w:hAnsi="Arial" w:cs="Arial"/>
          <w:sz w:val="20"/>
          <w:szCs w:val="22"/>
        </w:rPr>
        <w:t>Bankovní spojení,</w:t>
      </w:r>
      <w:r w:rsidR="000D76E7" w:rsidRPr="00004640">
        <w:rPr>
          <w:rFonts w:ascii="Arial" w:hAnsi="Arial" w:cs="Arial"/>
          <w:sz w:val="20"/>
          <w:szCs w:val="22"/>
        </w:rPr>
        <w:t xml:space="preserve"> č.</w:t>
      </w:r>
      <w:r w:rsidR="00500C69">
        <w:rPr>
          <w:rFonts w:ascii="Arial" w:hAnsi="Arial" w:cs="Arial"/>
          <w:sz w:val="20"/>
          <w:szCs w:val="22"/>
        </w:rPr>
        <w:t> </w:t>
      </w:r>
      <w:r w:rsidR="000D76E7" w:rsidRPr="00004640">
        <w:rPr>
          <w:rFonts w:ascii="Arial" w:hAnsi="Arial" w:cs="Arial"/>
          <w:sz w:val="20"/>
          <w:szCs w:val="22"/>
        </w:rPr>
        <w:t xml:space="preserve">ú.: </w:t>
      </w:r>
      <w:r w:rsidR="000D76E7" w:rsidRPr="00004640">
        <w:rPr>
          <w:rFonts w:ascii="Arial" w:hAnsi="Arial" w:cs="Arial"/>
          <w:bCs/>
          <w:sz w:val="20"/>
          <w:szCs w:val="22"/>
        </w:rPr>
        <w:t>XXX</w:t>
      </w:r>
      <w:r w:rsidR="00004640">
        <w:rPr>
          <w:rFonts w:ascii="Arial" w:hAnsi="Arial" w:cs="Arial"/>
          <w:bCs/>
          <w:sz w:val="20"/>
          <w:szCs w:val="22"/>
        </w:rPr>
        <w:t>,</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00FE7CBE">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B14AC6" w:rsidP="000D76E7">
      <w:pPr>
        <w:autoSpaceDE w:val="0"/>
        <w:autoSpaceDN w:val="0"/>
        <w:adjustRightInd w:val="0"/>
        <w:jc w:val="center"/>
        <w:rPr>
          <w:rFonts w:ascii="Arial" w:hAnsi="Arial" w:cs="Arial"/>
          <w:sz w:val="20"/>
          <w:szCs w:val="22"/>
        </w:rPr>
      </w:pPr>
      <w:r w:rsidRPr="00B14AC6">
        <w:rPr>
          <w:rFonts w:ascii="Arial" w:hAnsi="Arial" w:cs="Arial"/>
          <w:b/>
          <w:bCs/>
          <w:sz w:val="20"/>
          <w:szCs w:val="22"/>
        </w:rPr>
        <w:t>smlouvu o dílo</w:t>
      </w:r>
      <w:r w:rsidR="000D76E7" w:rsidRPr="004B4345">
        <w:rPr>
          <w:rFonts w:ascii="Arial" w:hAnsi="Arial" w:cs="Arial"/>
          <w:bCs/>
          <w:sz w:val="20"/>
          <w:szCs w:val="22"/>
        </w:rPr>
        <w:t xml:space="preserve"> </w:t>
      </w:r>
      <w:r w:rsidR="000D76E7" w:rsidRPr="004B4345">
        <w:rPr>
          <w:rFonts w:ascii="Arial" w:hAnsi="Arial" w:cs="Arial"/>
          <w:sz w:val="20"/>
          <w:szCs w:val="22"/>
        </w:rPr>
        <w:t xml:space="preserve">(dále jen </w:t>
      </w:r>
      <w:r w:rsidR="000D76E7" w:rsidRPr="004B4345">
        <w:rPr>
          <w:rFonts w:ascii="Arial" w:hAnsi="Arial" w:cs="Arial"/>
          <w:bCs/>
          <w:sz w:val="20"/>
          <w:szCs w:val="22"/>
        </w:rPr>
        <w:t>„</w:t>
      </w:r>
      <w:r w:rsidR="000D76E7" w:rsidRPr="004B4345">
        <w:rPr>
          <w:rFonts w:ascii="Arial" w:hAnsi="Arial" w:cs="Arial"/>
          <w:b/>
          <w:bCs/>
          <w:sz w:val="20"/>
          <w:szCs w:val="22"/>
        </w:rPr>
        <w:t>smlouva</w:t>
      </w:r>
      <w:r w:rsidR="000D76E7" w:rsidRPr="004B4345">
        <w:rPr>
          <w:rFonts w:ascii="Arial" w:hAnsi="Arial" w:cs="Arial"/>
          <w:bCs/>
          <w:sz w:val="20"/>
          <w:szCs w:val="22"/>
        </w:rPr>
        <w:t>“</w:t>
      </w:r>
      <w:r w:rsidR="000D76E7"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ED5DFD" w:rsidRPr="00ED5DFD" w:rsidRDefault="000D76E7" w:rsidP="00ED5DFD">
      <w:pPr>
        <w:tabs>
          <w:tab w:val="left" w:pos="2977"/>
        </w:tabs>
        <w:autoSpaceDE w:val="0"/>
        <w:autoSpaceDN w:val="0"/>
        <w:adjustRightInd w:val="0"/>
        <w:ind w:left="2977" w:hanging="2977"/>
        <w:jc w:val="both"/>
        <w:rPr>
          <w:rFonts w:ascii="Arial" w:hAnsi="Arial" w:cs="Arial"/>
          <w:b/>
          <w:bCs/>
          <w:sz w:val="21"/>
          <w:szCs w:val="21"/>
        </w:rPr>
      </w:pPr>
      <w:r w:rsidRPr="004B4345">
        <w:rPr>
          <w:rFonts w:ascii="Arial" w:hAnsi="Arial" w:cs="Arial"/>
          <w:bCs/>
          <w:sz w:val="20"/>
          <w:szCs w:val="22"/>
        </w:rPr>
        <w:t>na</w:t>
      </w:r>
      <w:r w:rsidR="00996FBB">
        <w:rPr>
          <w:rFonts w:ascii="Arial" w:hAnsi="Arial" w:cs="Arial"/>
          <w:bCs/>
          <w:sz w:val="20"/>
          <w:szCs w:val="22"/>
        </w:rPr>
        <w:t> zhotovení stavby </w:t>
      </w:r>
      <w:r w:rsidRPr="004B4345">
        <w:rPr>
          <w:rFonts w:ascii="Arial" w:hAnsi="Arial" w:cs="Arial"/>
          <w:bCs/>
          <w:sz w:val="20"/>
          <w:szCs w:val="22"/>
        </w:rPr>
        <w:t xml:space="preserve">s názvem: </w:t>
      </w:r>
      <w:r w:rsidR="00996FBB" w:rsidRPr="001C7389">
        <w:rPr>
          <w:rFonts w:ascii="Arial" w:hAnsi="Arial" w:cs="Arial"/>
          <w:b/>
          <w:bCs/>
          <w:sz w:val="20"/>
          <w:szCs w:val="22"/>
        </w:rPr>
        <w:tab/>
      </w:r>
      <w:r w:rsidR="00E7143C" w:rsidRPr="00E7143C">
        <w:rPr>
          <w:rFonts w:ascii="Arial" w:hAnsi="Arial" w:cs="Arial"/>
          <w:b/>
          <w:bCs/>
          <w:sz w:val="21"/>
          <w:szCs w:val="21"/>
        </w:rPr>
        <w:t>Stezka na Hvízdalky</w:t>
      </w:r>
      <w:r w:rsidR="00A43BF4">
        <w:rPr>
          <w:rFonts w:ascii="Arial" w:hAnsi="Arial" w:cs="Arial"/>
          <w:b/>
          <w:bCs/>
          <w:sz w:val="21"/>
          <w:szCs w:val="21"/>
        </w:rPr>
        <w:t xml:space="preserve"> </w:t>
      </w:r>
    </w:p>
    <w:p w:rsidR="000D76E7" w:rsidRPr="004B4345" w:rsidRDefault="00996FBB" w:rsidP="00ED5DFD">
      <w:pPr>
        <w:tabs>
          <w:tab w:val="left" w:pos="2977"/>
        </w:tabs>
        <w:autoSpaceDE w:val="0"/>
        <w:autoSpaceDN w:val="0"/>
        <w:adjustRightInd w:val="0"/>
        <w:ind w:left="2977" w:hanging="2977"/>
        <w:jc w:val="both"/>
        <w:rPr>
          <w:rFonts w:ascii="Arial" w:hAnsi="Arial" w:cs="Arial"/>
          <w:b/>
          <w:bCs/>
          <w:sz w:val="20"/>
          <w:szCs w:val="22"/>
        </w:rPr>
      </w:pPr>
      <w:r>
        <w:rPr>
          <w:rFonts w:ascii="Arial" w:hAnsi="Arial" w:cs="Arial"/>
          <w:bCs/>
          <w:sz w:val="20"/>
          <w:szCs w:val="22"/>
        </w:rPr>
        <w:t>č. zakázky zhotovitele:</w:t>
      </w:r>
      <w:r>
        <w:rPr>
          <w:rFonts w:ascii="Arial" w:hAnsi="Arial" w:cs="Arial"/>
          <w:bCs/>
          <w:sz w:val="20"/>
          <w:szCs w:val="22"/>
        </w:rPr>
        <w:tab/>
      </w:r>
      <w:r w:rsidR="000D76E7" w:rsidRPr="00E7143C">
        <w:rPr>
          <w:rFonts w:ascii="Arial" w:hAnsi="Arial" w:cs="Arial"/>
          <w:b/>
          <w:bCs/>
          <w:sz w:val="20"/>
          <w:szCs w:val="22"/>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001772CF">
        <w:rPr>
          <w:rFonts w:ascii="Arial" w:hAnsi="Arial" w:cs="Arial"/>
          <w:sz w:val="20"/>
          <w:szCs w:val="22"/>
        </w:rPr>
        <w:t>smluvených parametrech díla </w:t>
      </w:r>
      <w:r w:rsidRPr="004B4345">
        <w:rPr>
          <w:rFonts w:ascii="Arial" w:hAnsi="Arial" w:cs="Arial"/>
          <w:sz w:val="20"/>
          <w:szCs w:val="22"/>
        </w:rPr>
        <w:t xml:space="preserve">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5F52E8">
        <w:rPr>
          <w:rFonts w:ascii="Arial" w:hAnsi="Arial" w:cs="Arial"/>
          <w:sz w:val="20"/>
        </w:rPr>
        <w:t>pro veřejnou zakázku a</w:t>
      </w:r>
      <w:r w:rsidR="009E64D7" w:rsidRPr="005F52E8">
        <w:rPr>
          <w:rFonts w:ascii="Arial" w:hAnsi="Arial" w:cs="Arial"/>
          <w:sz w:val="20"/>
        </w:rPr>
        <w:t xml:space="preserve"> </w:t>
      </w:r>
      <w:r w:rsidRPr="005F52E8">
        <w:rPr>
          <w:rFonts w:ascii="Arial" w:hAnsi="Arial" w:cs="Arial"/>
          <w:sz w:val="20"/>
        </w:rPr>
        <w:t>schválen</w:t>
      </w:r>
      <w:r w:rsidR="005F52E8">
        <w:rPr>
          <w:rFonts w:ascii="Arial" w:hAnsi="Arial" w:cs="Arial"/>
          <w:sz w:val="20"/>
        </w:rPr>
        <w:t>é</w:t>
      </w:r>
      <w:r w:rsidRPr="005F52E8">
        <w:rPr>
          <w:rFonts w:ascii="Arial" w:hAnsi="Arial" w:cs="Arial"/>
          <w:sz w:val="20"/>
        </w:rPr>
        <w:t xml:space="preserve"> projektov</w:t>
      </w:r>
      <w:r w:rsidR="005F52E8">
        <w:rPr>
          <w:rFonts w:ascii="Arial" w:hAnsi="Arial" w:cs="Arial"/>
          <w:sz w:val="20"/>
        </w:rPr>
        <w:t>é</w:t>
      </w:r>
      <w:r w:rsidRPr="005F52E8">
        <w:rPr>
          <w:rFonts w:ascii="Arial" w:hAnsi="Arial" w:cs="Arial"/>
          <w:sz w:val="20"/>
        </w:rPr>
        <w:t xml:space="preserve"> dokumentac</w:t>
      </w:r>
      <w:r w:rsidR="005F52E8">
        <w:rPr>
          <w:rFonts w:ascii="Arial" w:hAnsi="Arial" w:cs="Arial"/>
          <w:sz w:val="20"/>
        </w:rPr>
        <w:t>e</w:t>
      </w:r>
      <w:r w:rsidRPr="005F52E8">
        <w:rPr>
          <w:rFonts w:ascii="Arial" w:hAnsi="Arial" w:cs="Arial"/>
          <w:sz w:val="20"/>
        </w:rPr>
        <w:t xml:space="preserve"> </w:t>
      </w:r>
      <w:r w:rsidR="00A34662" w:rsidRPr="005F52E8">
        <w:rPr>
          <w:rFonts w:ascii="Arial" w:hAnsi="Arial" w:cs="Arial"/>
          <w:sz w:val="20"/>
        </w:rPr>
        <w:t>„</w:t>
      </w:r>
      <w:r w:rsidR="00E7143C" w:rsidRPr="005F52E8">
        <w:rPr>
          <w:rFonts w:ascii="Arial" w:hAnsi="Arial" w:cs="Arial"/>
          <w:bCs/>
          <w:sz w:val="20"/>
        </w:rPr>
        <w:t>Stezka na Hvízdalky</w:t>
      </w:r>
      <w:r w:rsidR="008010C4" w:rsidRPr="005F52E8">
        <w:rPr>
          <w:rFonts w:ascii="Arial" w:hAnsi="Arial" w:cs="Arial"/>
          <w:bCs/>
          <w:sz w:val="20"/>
        </w:rPr>
        <w:t>“</w:t>
      </w:r>
      <w:r w:rsidR="00C7164E" w:rsidRPr="005F52E8">
        <w:rPr>
          <w:rFonts w:ascii="Arial" w:hAnsi="Arial" w:cs="Arial"/>
          <w:sz w:val="20"/>
        </w:rPr>
        <w:t xml:space="preserve">, </w:t>
      </w:r>
      <w:r w:rsidR="005F52E8" w:rsidRPr="005F52E8">
        <w:rPr>
          <w:rFonts w:ascii="Arial" w:hAnsi="Arial" w:cs="Arial"/>
          <w:sz w:val="20"/>
        </w:rPr>
        <w:t>zpracované projekční kanceláří Ing. František Stráský, Atelier SIS, U Malše 20, České Budějovice</w:t>
      </w:r>
      <w:r w:rsidR="00B14AC6" w:rsidRPr="005F52E8">
        <w:rPr>
          <w:rFonts w:ascii="Arial" w:hAnsi="Arial" w:cs="Arial"/>
          <w:sz w:val="20"/>
        </w:rPr>
        <w:t>,</w:t>
      </w:r>
      <w:r w:rsidR="00A72D8C" w:rsidRPr="005F52E8">
        <w:rPr>
          <w:rFonts w:ascii="Arial" w:hAnsi="Arial" w:cs="Arial"/>
          <w:color w:val="FF0000"/>
          <w:sz w:val="20"/>
        </w:rPr>
        <w:t xml:space="preserve"> </w:t>
      </w:r>
      <w:r w:rsidR="00C7164E" w:rsidRPr="005F52E8">
        <w:rPr>
          <w:rFonts w:ascii="Arial" w:hAnsi="Arial" w:cs="Arial"/>
          <w:sz w:val="20"/>
        </w:rPr>
        <w:t>včetně výkaz</w:t>
      </w:r>
      <w:r w:rsidR="005F52E8">
        <w:rPr>
          <w:rFonts w:ascii="Arial" w:hAnsi="Arial" w:cs="Arial"/>
          <w:sz w:val="20"/>
        </w:rPr>
        <w:t>u</w:t>
      </w:r>
      <w:r w:rsidR="00C7164E" w:rsidRPr="005F52E8">
        <w:rPr>
          <w:rFonts w:ascii="Arial" w:hAnsi="Arial" w:cs="Arial"/>
          <w:sz w:val="20"/>
        </w:rPr>
        <w:t xml:space="preserve"> výměr</w:t>
      </w:r>
      <w:r w:rsidR="00822E19" w:rsidRPr="005F52E8">
        <w:rPr>
          <w:rFonts w:ascii="Arial" w:hAnsi="Arial" w:cs="Arial"/>
          <w:sz w:val="20"/>
        </w:rPr>
        <w:t xml:space="preserve">, </w:t>
      </w:r>
      <w:r w:rsidRPr="005F52E8">
        <w:rPr>
          <w:rFonts w:ascii="Arial" w:hAnsi="Arial" w:cs="Arial"/>
          <w:sz w:val="20"/>
        </w:rPr>
        <w:t>kter</w:t>
      </w:r>
      <w:r w:rsidR="005F52E8">
        <w:rPr>
          <w:rFonts w:ascii="Arial" w:hAnsi="Arial" w:cs="Arial"/>
          <w:sz w:val="20"/>
        </w:rPr>
        <w:t>ý</w:t>
      </w:r>
      <w:r w:rsidRPr="005F52E8">
        <w:rPr>
          <w:rFonts w:ascii="Arial" w:hAnsi="Arial" w:cs="Arial"/>
          <w:sz w:val="20"/>
        </w:rPr>
        <w:t xml:space="preserve"> j</w:t>
      </w:r>
      <w:r w:rsidR="005F52E8">
        <w:rPr>
          <w:rFonts w:ascii="Arial" w:hAnsi="Arial" w:cs="Arial"/>
          <w:sz w:val="20"/>
        </w:rPr>
        <w:t>e</w:t>
      </w:r>
      <w:r w:rsidRPr="005F52E8">
        <w:rPr>
          <w:rFonts w:ascii="Arial" w:hAnsi="Arial" w:cs="Arial"/>
          <w:sz w:val="20"/>
        </w:rPr>
        <w:t xml:space="preserve"> přílohou č.</w:t>
      </w:r>
      <w:r w:rsidR="005F52E8">
        <w:rPr>
          <w:rFonts w:ascii="Arial" w:hAnsi="Arial" w:cs="Arial"/>
          <w:sz w:val="20"/>
        </w:rPr>
        <w:t> </w:t>
      </w:r>
      <w:r w:rsidRPr="005F52E8">
        <w:rPr>
          <w:rFonts w:ascii="Arial" w:hAnsi="Arial" w:cs="Arial"/>
          <w:sz w:val="20"/>
        </w:rPr>
        <w:t>1 této smlouvy, dle všech správních rozhodnutí vydaných pro</w:t>
      </w:r>
      <w:r w:rsidRPr="00972459">
        <w:rPr>
          <w:rFonts w:ascii="Arial" w:hAnsi="Arial" w:cs="Arial"/>
          <w:sz w:val="20"/>
        </w:rPr>
        <w:t xml:space="preserve">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C4DE8">
      <w:pPr>
        <w:numPr>
          <w:ilvl w:val="0"/>
          <w:numId w:val="6"/>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C4DE8">
      <w:pPr>
        <w:numPr>
          <w:ilvl w:val="0"/>
          <w:numId w:val="6"/>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F589F" w:rsidRPr="00F23085" w:rsidRDefault="005F589F" w:rsidP="005F589F">
      <w:pPr>
        <w:pStyle w:val="Odstavecseseznamem"/>
        <w:tabs>
          <w:tab w:val="num" w:pos="284"/>
        </w:tabs>
        <w:ind w:left="426"/>
        <w:jc w:val="both"/>
        <w:rPr>
          <w:rFonts w:ascii="Arial" w:hAnsi="Arial" w:cs="Arial"/>
          <w:b/>
          <w:snapToGrid w:val="0"/>
          <w:sz w:val="20"/>
        </w:rPr>
      </w:pPr>
      <w:r w:rsidRPr="00493041">
        <w:rPr>
          <w:rFonts w:ascii="Arial" w:hAnsi="Arial" w:cs="Arial"/>
          <w:b/>
          <w:snapToGrid w:val="0"/>
          <w:sz w:val="20"/>
        </w:rPr>
        <w:t>Zahájení díla:</w:t>
      </w:r>
      <w:r w:rsidRPr="00493041">
        <w:rPr>
          <w:rFonts w:ascii="Arial" w:hAnsi="Arial" w:cs="Arial"/>
          <w:b/>
          <w:snapToGrid w:val="0"/>
          <w:sz w:val="20"/>
        </w:rPr>
        <w:tab/>
      </w:r>
      <w:r w:rsidR="00F23085" w:rsidRPr="00F23085">
        <w:rPr>
          <w:rFonts w:ascii="Arial" w:hAnsi="Arial" w:cs="Arial"/>
          <w:b/>
          <w:color w:val="000000"/>
          <w:sz w:val="20"/>
        </w:rPr>
        <w:t xml:space="preserve">po předání staveniště (předpoklad </w:t>
      </w:r>
      <w:r w:rsidR="002E04E9">
        <w:rPr>
          <w:rFonts w:ascii="Arial" w:hAnsi="Arial" w:cs="Arial"/>
          <w:b/>
          <w:color w:val="000000"/>
          <w:sz w:val="20"/>
        </w:rPr>
        <w:t>15.04.2024</w:t>
      </w:r>
      <w:r w:rsidR="00F23085" w:rsidRPr="00F23085">
        <w:rPr>
          <w:rFonts w:ascii="Arial" w:hAnsi="Arial" w:cs="Arial"/>
          <w:b/>
          <w:color w:val="000000"/>
          <w:sz w:val="20"/>
        </w:rPr>
        <w:t>).</w:t>
      </w:r>
    </w:p>
    <w:p w:rsidR="00493041" w:rsidRPr="00493041" w:rsidRDefault="005F589F" w:rsidP="0054161B">
      <w:pPr>
        <w:pStyle w:val="Odstavecseseznamem"/>
        <w:tabs>
          <w:tab w:val="num" w:pos="284"/>
        </w:tabs>
        <w:ind w:left="426"/>
        <w:jc w:val="both"/>
        <w:rPr>
          <w:rFonts w:ascii="Arial" w:hAnsi="Arial" w:cs="Arial"/>
          <w:b/>
          <w:sz w:val="20"/>
        </w:rPr>
      </w:pPr>
      <w:r w:rsidRPr="00F23085">
        <w:rPr>
          <w:rFonts w:ascii="Arial" w:hAnsi="Arial" w:cs="Arial"/>
          <w:b/>
          <w:snapToGrid w:val="0"/>
          <w:sz w:val="20"/>
        </w:rPr>
        <w:t>Dokončení díla:</w:t>
      </w:r>
      <w:r w:rsidRPr="00F23085">
        <w:rPr>
          <w:rFonts w:ascii="Arial" w:hAnsi="Arial" w:cs="Arial"/>
          <w:b/>
          <w:snapToGrid w:val="0"/>
          <w:sz w:val="20"/>
        </w:rPr>
        <w:tab/>
      </w:r>
      <w:r w:rsidR="00F23085" w:rsidRPr="00F23085">
        <w:rPr>
          <w:rFonts w:ascii="Arial" w:hAnsi="Arial" w:cs="Arial"/>
          <w:b/>
          <w:color w:val="000000"/>
          <w:sz w:val="20"/>
        </w:rPr>
        <w:t xml:space="preserve">do </w:t>
      </w:r>
      <w:r w:rsidR="002E04E9">
        <w:rPr>
          <w:rFonts w:ascii="Arial" w:hAnsi="Arial" w:cs="Arial"/>
          <w:b/>
          <w:color w:val="000000"/>
          <w:sz w:val="20"/>
        </w:rPr>
        <w:t>6</w:t>
      </w:r>
      <w:r w:rsidR="00F23085" w:rsidRPr="00F23085">
        <w:rPr>
          <w:rFonts w:ascii="Arial" w:hAnsi="Arial" w:cs="Arial"/>
          <w:b/>
          <w:color w:val="000000"/>
          <w:sz w:val="20"/>
        </w:rPr>
        <w:t>0 kalendářních dnů od předání staveniště</w:t>
      </w:r>
      <w:r w:rsidR="00F23085">
        <w:rPr>
          <w:rFonts w:ascii="Arial" w:hAnsi="Arial" w:cs="Arial"/>
          <w:b/>
          <w:color w:val="000000"/>
          <w:sz w:val="20"/>
        </w:rPr>
        <w:t>.</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24274" w:rsidP="00724274">
            <w:pPr>
              <w:autoSpaceDE w:val="0"/>
              <w:autoSpaceDN w:val="0"/>
              <w:adjustRightInd w:val="0"/>
              <w:jc w:val="right"/>
              <w:rPr>
                <w:rFonts w:ascii="Arial" w:hAnsi="Arial" w:cs="Arial"/>
                <w:b/>
                <w:bCs/>
                <w:sz w:val="20"/>
                <w:szCs w:val="22"/>
              </w:rPr>
            </w:pPr>
            <w:r>
              <w:rPr>
                <w:rFonts w:ascii="Arial" w:hAnsi="Arial" w:cs="Arial"/>
                <w:b/>
                <w:bCs/>
                <w:sz w:val="20"/>
                <w:szCs w:val="22"/>
              </w:rPr>
              <w:t>x xxx xxx,xx 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 xxx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BC48FB" w:rsidTr="00BC48FB">
        <w:trPr>
          <w:trHeight w:val="288"/>
        </w:trPr>
        <w:tc>
          <w:tcPr>
            <w:tcW w:w="8678" w:type="dxa"/>
            <w:gridSpan w:val="2"/>
            <w:vAlign w:val="center"/>
          </w:tcPr>
          <w:p w:rsidR="00BC48FB" w:rsidRDefault="00BC48FB" w:rsidP="00BC48FB">
            <w:pPr>
              <w:autoSpaceDE w:val="0"/>
              <w:autoSpaceDN w:val="0"/>
              <w:adjustRightInd w:val="0"/>
              <w:rPr>
                <w:rFonts w:ascii="Arial" w:hAnsi="Arial" w:cs="Arial"/>
                <w:sz w:val="20"/>
                <w:szCs w:val="22"/>
              </w:rPr>
            </w:pPr>
            <w:r w:rsidRPr="00FF6DFB">
              <w:rPr>
                <w:rFonts w:ascii="Arial" w:hAnsi="Arial" w:cs="Arial"/>
                <w:bCs/>
                <w:sz w:val="20"/>
                <w:szCs w:val="22"/>
              </w:rPr>
              <w:t>slovy:</w:t>
            </w:r>
            <w:r>
              <w:rPr>
                <w:rFonts w:ascii="Arial" w:hAnsi="Arial" w:cs="Arial"/>
                <w:bCs/>
                <w:sz w:val="20"/>
                <w:szCs w:val="22"/>
              </w:rPr>
              <w:t xml:space="preserve">  … </w:t>
            </w:r>
            <w:r w:rsidRPr="004B4345">
              <w:rPr>
                <w:rFonts w:ascii="Arial" w:hAnsi="Arial" w:cs="Arial"/>
                <w:sz w:val="20"/>
                <w:szCs w:val="22"/>
              </w:rPr>
              <w:t xml:space="preserve">korun českých </w:t>
            </w:r>
            <w:r>
              <w:rPr>
                <w:rFonts w:ascii="Arial" w:hAnsi="Arial" w:cs="Arial"/>
                <w:sz w:val="20"/>
                <w:szCs w:val="22"/>
              </w:rPr>
              <w:t xml:space="preserve">a … haléřů </w:t>
            </w:r>
            <w:r w:rsidRPr="004B4345">
              <w:rPr>
                <w:rFonts w:ascii="Arial" w:hAnsi="Arial" w:cs="Arial"/>
                <w:sz w:val="20"/>
                <w:szCs w:val="22"/>
              </w:rPr>
              <w:t>včetně DPH</w:t>
            </w:r>
          </w:p>
          <w:p w:rsidR="00BC48FB" w:rsidRPr="00FF6DFB" w:rsidRDefault="00BC48FB" w:rsidP="00BC48FB">
            <w:pPr>
              <w:autoSpaceDE w:val="0"/>
              <w:autoSpaceDN w:val="0"/>
              <w:adjustRightInd w:val="0"/>
              <w:rPr>
                <w:rFonts w:ascii="Arial" w:hAnsi="Arial" w:cs="Arial"/>
                <w:bCs/>
                <w:sz w:val="20"/>
                <w:szCs w:val="22"/>
              </w:rPr>
            </w:pP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9F1CBC" w:rsidP="000D76E7">
      <w:pPr>
        <w:numPr>
          <w:ilvl w:val="0"/>
          <w:numId w:val="8"/>
        </w:numPr>
        <w:autoSpaceDE w:val="0"/>
        <w:autoSpaceDN w:val="0"/>
        <w:adjustRightInd w:val="0"/>
        <w:ind w:left="426"/>
        <w:jc w:val="both"/>
        <w:rPr>
          <w:rFonts w:ascii="Arial" w:hAnsi="Arial" w:cs="Arial"/>
          <w:sz w:val="20"/>
          <w:szCs w:val="22"/>
        </w:rPr>
      </w:pPr>
      <w:r>
        <w:rPr>
          <w:rFonts w:ascii="Arial" w:hAnsi="Arial" w:cs="Arial"/>
          <w:sz w:val="20"/>
          <w:szCs w:val="22"/>
        </w:rPr>
        <w:t>Zbývající část</w:t>
      </w:r>
      <w:r w:rsidR="000D76E7" w:rsidRPr="004B4345">
        <w:rPr>
          <w:rFonts w:ascii="Arial" w:hAnsi="Arial" w:cs="Arial"/>
          <w:sz w:val="20"/>
          <w:szCs w:val="22"/>
        </w:rPr>
        <w:t xml:space="preserve">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Splatnost faktur zhotovitele je sjednána na 30 </w:t>
      </w:r>
      <w:r w:rsidR="00FE7CBE">
        <w:rPr>
          <w:rFonts w:ascii="Arial" w:hAnsi="Arial" w:cs="Arial"/>
          <w:sz w:val="20"/>
          <w:szCs w:val="22"/>
        </w:rPr>
        <w:t xml:space="preserve">dní od jejich </w:t>
      </w:r>
      <w:r w:rsidR="009416BC">
        <w:rPr>
          <w:rFonts w:ascii="Arial" w:hAnsi="Arial" w:cs="Arial"/>
          <w:sz w:val="20"/>
          <w:szCs w:val="22"/>
        </w:rPr>
        <w:t>doručení objednateli</w:t>
      </w:r>
      <w:r w:rsidR="00FE7CBE">
        <w:rPr>
          <w:rFonts w:ascii="Arial" w:hAnsi="Arial" w:cs="Arial"/>
          <w:sz w:val="20"/>
          <w:szCs w:val="22"/>
        </w:rPr>
        <w:t xml:space="preserve">. </w:t>
      </w:r>
      <w:r w:rsidRPr="004B4345">
        <w:rPr>
          <w:rFonts w:ascii="Arial" w:hAnsi="Arial" w:cs="Arial"/>
          <w:sz w:val="20"/>
          <w:szCs w:val="22"/>
        </w:rPr>
        <w:t>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00500C69">
        <w:rPr>
          <w:rFonts w:ascii="Arial" w:hAnsi="Arial" w:cs="Arial"/>
          <w:sz w:val="20"/>
          <w:szCs w:val="22"/>
        </w:rPr>
        <w:t>neprodleně po nabytí právní moci stavebního povolení</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schválený projekt pro j</w:t>
      </w:r>
      <w:r w:rsidR="00FE7CBE">
        <w:rPr>
          <w:rFonts w:ascii="Arial" w:hAnsi="Arial" w:cs="Arial"/>
          <w:sz w:val="20"/>
          <w:szCs w:val="22"/>
        </w:rPr>
        <w:t>ednotlivé části stavby ve dvou (</w:t>
      </w:r>
      <w:r w:rsidRPr="004B4345">
        <w:rPr>
          <w:rFonts w:ascii="Arial" w:hAnsi="Arial" w:cs="Arial"/>
          <w:sz w:val="20"/>
          <w:szCs w:val="22"/>
        </w:rPr>
        <w:t>2</w:t>
      </w:r>
      <w:r w:rsidR="00FE7CBE">
        <w:rPr>
          <w:rFonts w:ascii="Arial" w:hAnsi="Arial" w:cs="Arial"/>
          <w:sz w:val="20"/>
          <w:szCs w:val="22"/>
        </w:rPr>
        <w:t>)</w:t>
      </w:r>
      <w:r w:rsidRPr="004B4345">
        <w:rPr>
          <w:rFonts w:ascii="Arial" w:hAnsi="Arial" w:cs="Arial"/>
          <w:sz w:val="20"/>
          <w:szCs w:val="22"/>
        </w:rPr>
        <w:t xml:space="preserve"> vyhotoveních,</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připojovací místa dotčených sítí technické infrastruktury</w:t>
      </w:r>
      <w:r w:rsidR="00FE7CBE">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poskytne zhotoviteli bezplatně vymezený prostor staveniště a př</w:t>
      </w:r>
      <w:r w:rsidR="00FE7CBE">
        <w:rPr>
          <w:rFonts w:ascii="Arial" w:hAnsi="Arial" w:cs="Arial"/>
          <w:sz w:val="20"/>
          <w:szCs w:val="22"/>
        </w:rPr>
        <w:t xml:space="preserve">ípadné další sjednané prostory </w:t>
      </w:r>
      <w:r w:rsidRPr="004B4345">
        <w:rPr>
          <w:rFonts w:ascii="Arial" w:hAnsi="Arial" w:cs="Arial"/>
          <w:sz w:val="20"/>
          <w:szCs w:val="22"/>
        </w:rP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r w:rsidR="0056759B">
        <w:rPr>
          <w:rFonts w:ascii="Arial" w:hAnsi="Arial" w:cs="Arial"/>
          <w:sz w:val="20"/>
          <w:szCs w:val="22"/>
        </w:rPr>
        <w:t>,</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FE7CBE">
        <w:rPr>
          <w:rFonts w:ascii="Arial" w:hAnsi="Arial" w:cs="Arial"/>
          <w:sz w:val="20"/>
          <w:szCs w:val="22"/>
        </w:rPr>
        <w:t xml:space="preserve">Zástupci zhotovitele na stavbě: </w:t>
      </w:r>
      <w:r w:rsidRPr="00B57EE3">
        <w:rPr>
          <w:rFonts w:ascii="Arial" w:hAnsi="Arial" w:cs="Arial"/>
          <w:sz w:val="20"/>
          <w:szCs w:val="22"/>
        </w:rPr>
        <w:t>XXX</w:t>
      </w:r>
      <w:r w:rsidR="00FA7CE1" w:rsidRPr="00B57EE3">
        <w:rPr>
          <w:rFonts w:ascii="Arial" w:hAnsi="Arial" w:cs="Arial"/>
          <w:sz w:val="20"/>
          <w:szCs w:val="22"/>
        </w:rPr>
        <w:t>XXXXX</w:t>
      </w:r>
      <w:r w:rsidRPr="00B57EE3">
        <w:rPr>
          <w:rFonts w:ascii="Arial" w:hAnsi="Arial" w:cs="Arial"/>
          <w:sz w:val="20"/>
          <w:szCs w:val="22"/>
        </w:rPr>
        <w:t xml:space="preserve">, </w:t>
      </w:r>
      <w:r w:rsidRPr="00B57EE3">
        <w:rPr>
          <w:rFonts w:ascii="Arial" w:hAnsi="Arial" w:cs="Arial"/>
          <w:bCs/>
          <w:sz w:val="20"/>
          <w:szCs w:val="22"/>
        </w:rPr>
        <w:t xml:space="preserve">tel. </w:t>
      </w:r>
      <w:r w:rsidRPr="00B57EE3">
        <w:rPr>
          <w:rFonts w:ascii="Arial" w:hAnsi="Arial" w:cs="Arial"/>
          <w:sz w:val="20"/>
          <w:szCs w:val="22"/>
        </w:rPr>
        <w:t>XXX</w:t>
      </w:r>
      <w:r w:rsidR="00FA7CE1" w:rsidRPr="00B57EE3">
        <w:rPr>
          <w:rFonts w:ascii="Arial" w:hAnsi="Arial" w:cs="Arial"/>
          <w:sz w:val="20"/>
          <w:szCs w:val="22"/>
        </w:rPr>
        <w:t>XXXXX</w:t>
      </w:r>
      <w:r w:rsidRPr="00FE7CBE">
        <w:rPr>
          <w:rFonts w:ascii="Arial" w:hAnsi="Arial" w:cs="Arial"/>
          <w:bCs/>
          <w:sz w:val="20"/>
          <w:szCs w:val="22"/>
        </w:rPr>
        <w:t>,</w:t>
      </w:r>
      <w:r w:rsidRPr="00FE7CBE">
        <w:rPr>
          <w:rFonts w:ascii="Arial" w:hAnsi="Arial" w:cs="Arial"/>
          <w:b/>
          <w:bCs/>
          <w:sz w:val="20"/>
          <w:szCs w:val="22"/>
        </w:rPr>
        <w:t xml:space="preserve"> </w:t>
      </w:r>
      <w:r w:rsidRPr="00FE7CBE">
        <w:rPr>
          <w:rFonts w:ascii="Arial" w:hAnsi="Arial" w:cs="Arial"/>
          <w:sz w:val="20"/>
          <w:szCs w:val="22"/>
        </w:rPr>
        <w:t xml:space="preserve">jsou oprávněni vyřizovat </w:t>
      </w:r>
      <w:r w:rsidRPr="00044A9E">
        <w:rPr>
          <w:rFonts w:ascii="Arial" w:hAnsi="Arial" w:cs="Arial"/>
          <w:sz w:val="20"/>
          <w:szCs w:val="22"/>
        </w:rPr>
        <w:t>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w:t>
      </w:r>
      <w:r w:rsidR="0056759B">
        <w:rPr>
          <w:rFonts w:ascii="Arial" w:hAnsi="Arial" w:cs="Arial"/>
          <w:sz w:val="20"/>
          <w:szCs w:val="22"/>
        </w:rPr>
        <w:t xml:space="preserve">převzít </w:t>
      </w:r>
      <w:r w:rsidRPr="004B4345">
        <w:rPr>
          <w:rFonts w:ascii="Arial" w:hAnsi="Arial" w:cs="Arial"/>
          <w:sz w:val="20"/>
          <w:szCs w:val="22"/>
        </w:rPr>
        <w:t>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532B7A" w:rsidP="0087711C">
      <w:pPr>
        <w:numPr>
          <w:ilvl w:val="0"/>
          <w:numId w:val="17"/>
        </w:numPr>
        <w:autoSpaceDE w:val="0"/>
        <w:autoSpaceDN w:val="0"/>
        <w:adjustRightInd w:val="0"/>
        <w:ind w:hanging="294"/>
        <w:jc w:val="both"/>
        <w:rPr>
          <w:rFonts w:ascii="Arial" w:hAnsi="Arial" w:cs="Arial"/>
          <w:sz w:val="20"/>
          <w:szCs w:val="22"/>
        </w:rPr>
      </w:pPr>
      <w:r>
        <w:rPr>
          <w:rFonts w:ascii="Arial" w:hAnsi="Arial" w:cs="Arial"/>
          <w:sz w:val="20"/>
          <w:szCs w:val="22"/>
        </w:rPr>
        <w:t>nesprávných podkladech</w:t>
      </w:r>
      <w:r w:rsidR="000D76E7" w:rsidRPr="004B4345">
        <w:rPr>
          <w:rFonts w:ascii="Arial" w:hAnsi="Arial" w:cs="Arial"/>
          <w:sz w:val="20"/>
          <w:szCs w:val="22"/>
        </w:rPr>
        <w:t>,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účtovat zho</w:t>
      </w:r>
      <w:r w:rsidR="006155CD">
        <w:rPr>
          <w:rFonts w:ascii="Arial" w:hAnsi="Arial" w:cs="Arial"/>
          <w:sz w:val="20"/>
          <w:szCs w:val="22"/>
        </w:rPr>
        <w:t>toviteli smluvní pokutu ve výši </w:t>
      </w:r>
      <w:r w:rsidR="00532B7A">
        <w:rPr>
          <w:rFonts w:ascii="Arial" w:hAnsi="Arial" w:cs="Arial"/>
          <w:sz w:val="20"/>
          <w:szCs w:val="22"/>
        </w:rPr>
        <w:t>5</w:t>
      </w:r>
      <w:r w:rsidR="00E76990">
        <w:rPr>
          <w:rFonts w:ascii="Arial" w:hAnsi="Arial" w:cs="Arial"/>
          <w:sz w:val="20"/>
          <w:szCs w:val="22"/>
        </w:rPr>
        <w:t>.000,00</w:t>
      </w:r>
      <w:r w:rsidR="006155CD">
        <w:rPr>
          <w:rFonts w:ascii="Arial" w:hAnsi="Arial" w:cs="Arial"/>
          <w:sz w:val="20"/>
          <w:szCs w:val="22"/>
        </w:rPr>
        <w:t> </w:t>
      </w:r>
      <w:r w:rsidR="00E76990">
        <w:rPr>
          <w:rFonts w:ascii="Arial" w:hAnsi="Arial" w:cs="Arial"/>
          <w:sz w:val="20"/>
          <w:szCs w:val="22"/>
        </w:rPr>
        <w:t>Kč</w:t>
      </w:r>
      <w:r w:rsidR="00C7164E">
        <w:rPr>
          <w:rFonts w:ascii="Arial" w:hAnsi="Arial" w:cs="Arial"/>
          <w:sz w:val="20"/>
          <w:szCs w:val="22"/>
        </w:rPr>
        <w:t xml:space="preserve">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006155CD">
        <w:rPr>
          <w:rFonts w:ascii="Arial" w:hAnsi="Arial" w:cs="Arial"/>
          <w:sz w:val="20"/>
          <w:szCs w:val="22"/>
        </w:rPr>
        <w:t> </w:t>
      </w:r>
      <w:r w:rsidRPr="004B4345">
        <w:rPr>
          <w:rFonts w:ascii="Arial" w:hAnsi="Arial" w:cs="Arial"/>
          <w:sz w:val="20"/>
          <w:szCs w:val="22"/>
        </w:rPr>
        <w:t xml:space="preserve">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006155CD">
        <w:rPr>
          <w:rFonts w:ascii="Arial" w:hAnsi="Arial" w:cs="Arial"/>
          <w:sz w:val="20"/>
          <w:szCs w:val="22"/>
        </w:rPr>
        <w:t> </w:t>
      </w:r>
      <w:r w:rsidRPr="004B4345">
        <w:rPr>
          <w:rFonts w:ascii="Arial" w:hAnsi="Arial" w:cs="Arial"/>
          <w:sz w:val="20"/>
          <w:szCs w:val="22"/>
        </w:rPr>
        <w:t>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w:t>
      </w:r>
      <w:r w:rsidR="006155CD">
        <w:rPr>
          <w:rFonts w:ascii="Arial" w:hAnsi="Arial" w:cs="Arial"/>
          <w:sz w:val="20"/>
          <w:szCs w:val="22"/>
        </w:rPr>
        <w:t> </w:t>
      </w:r>
      <w:r w:rsidR="007270F6" w:rsidRPr="00C95C61">
        <w:rPr>
          <w:rFonts w:ascii="Arial" w:hAnsi="Arial" w:cs="Arial"/>
          <w:sz w:val="20"/>
          <w:szCs w:val="22"/>
        </w:rPr>
        <w:t>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F54110">
        <w:rPr>
          <w:rFonts w:ascii="Arial" w:hAnsi="Arial" w:cs="Arial"/>
          <w:sz w:val="20"/>
          <w:szCs w:val="22"/>
        </w:rPr>
        <w:t>které</w:t>
      </w:r>
      <w:r w:rsidRPr="004B4345">
        <w:rPr>
          <w:rFonts w:ascii="Arial" w:hAnsi="Arial" w:cs="Arial"/>
          <w:sz w:val="20"/>
          <w:szCs w:val="22"/>
        </w:rPr>
        <w:t xml:space="preserve">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bookmarkStart w:id="0" w:name="_GoBack"/>
      <w:bookmarkEnd w:id="0"/>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Tato smlouva je vyhotovena v elektronické podobě, přičemž obě smluvní strany obd</w:t>
      </w:r>
      <w:r>
        <w:rPr>
          <w:rFonts w:ascii="Arial" w:hAnsi="Arial" w:cs="Arial"/>
          <w:sz w:val="20"/>
          <w:szCs w:val="22"/>
        </w:rPr>
        <w:t>rží její elektronický originál.</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 xml:space="preserve">Tato smlouva je platná dnem připojení platného uznávaného elektronického podpisu dle zákona č. 297/2016 Sb., o službách vytvářejících důvěru pro elektronické transakce, ve znění pozdějších předpisů, oběma smluvními stranami do této smlouvy.  </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V případě, že je účinnost smlouvy v souladu se zákonem č. 340/2015 Sb., o zvláštních podmínkách účinnosti některých smluv, uveřejňování těchto smluv a o registru smluv (zákon o</w:t>
      </w:r>
      <w:r>
        <w:rPr>
          <w:rFonts w:ascii="Arial" w:hAnsi="Arial" w:cs="Arial"/>
          <w:sz w:val="20"/>
          <w:szCs w:val="22"/>
        </w:rPr>
        <w:t> </w:t>
      </w:r>
      <w:r w:rsidRPr="00BF1579">
        <w:rPr>
          <w:rFonts w:ascii="Arial" w:hAnsi="Arial" w:cs="Arial"/>
          <w:sz w:val="20"/>
          <w:szCs w:val="22"/>
        </w:rPr>
        <w:t xml:space="preserve">registru smluv), ve 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w:t>
      </w:r>
      <w:r>
        <w:rPr>
          <w:rFonts w:ascii="Arial" w:hAnsi="Arial" w:cs="Arial"/>
          <w:sz w:val="20"/>
          <w:szCs w:val="22"/>
        </w:rPr>
        <w:t>objednatel</w:t>
      </w:r>
      <w:r w:rsidRPr="00BF1579">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7F7F79">
      <w:pPr>
        <w:numPr>
          <w:ilvl w:val="0"/>
          <w:numId w:val="24"/>
        </w:numPr>
        <w:autoSpaceDE w:val="0"/>
        <w:autoSpaceDN w:val="0"/>
        <w:adjustRightInd w:val="0"/>
        <w:ind w:left="709" w:hanging="283"/>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7F7F79">
      <w:pPr>
        <w:numPr>
          <w:ilvl w:val="0"/>
          <w:numId w:val="24"/>
        </w:numPr>
        <w:autoSpaceDE w:val="0"/>
        <w:autoSpaceDN w:val="0"/>
        <w:adjustRightInd w:val="0"/>
        <w:ind w:left="709" w:hanging="283"/>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7F7F79">
      <w:pPr>
        <w:numPr>
          <w:ilvl w:val="0"/>
          <w:numId w:val="24"/>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7F7F79">
            <w:pPr>
              <w:autoSpaceDE w:val="0"/>
              <w:autoSpaceDN w:val="0"/>
              <w:adjustRightInd w:val="0"/>
              <w:rPr>
                <w:rFonts w:ascii="Arial" w:hAnsi="Arial" w:cs="Arial"/>
                <w:sz w:val="20"/>
              </w:rPr>
            </w:pPr>
            <w:r w:rsidRPr="008A5257">
              <w:rPr>
                <w:rFonts w:ascii="Arial" w:hAnsi="Arial" w:cs="Arial"/>
                <w:sz w:val="20"/>
              </w:rPr>
              <w:t>V</w:t>
            </w:r>
            <w:r w:rsidR="00500C69">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8FB" w:rsidRDefault="00BC48FB" w:rsidP="00EA4B1C">
      <w:r>
        <w:separator/>
      </w:r>
    </w:p>
  </w:endnote>
  <w:endnote w:type="continuationSeparator" w:id="0">
    <w:p w:rsidR="00BC48FB" w:rsidRDefault="00BC48FB"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BC48FB" w:rsidRPr="00645F04" w:rsidRDefault="00BC48FB">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B57EE3">
          <w:rPr>
            <w:rFonts w:ascii="Arial" w:hAnsi="Arial" w:cs="Arial"/>
            <w:noProof/>
            <w:sz w:val="16"/>
          </w:rPr>
          <w:t>9</w:t>
        </w:r>
        <w:r w:rsidRPr="00645F04">
          <w:rPr>
            <w:rFonts w:ascii="Arial" w:hAnsi="Arial" w:cs="Arial"/>
            <w:sz w:val="16"/>
          </w:rPr>
          <w:fldChar w:fldCharType="end"/>
        </w:r>
      </w:p>
    </w:sdtContent>
  </w:sdt>
  <w:p w:rsidR="00BC48FB" w:rsidRDefault="00BC48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8FB" w:rsidRDefault="00BC48FB" w:rsidP="00EA4B1C">
      <w:r>
        <w:separator/>
      </w:r>
    </w:p>
  </w:footnote>
  <w:footnote w:type="continuationSeparator" w:id="0">
    <w:p w:rsidR="00BC48FB" w:rsidRDefault="00BC48FB"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5"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4"/>
  </w:num>
  <w:num w:numId="4">
    <w:abstractNumId w:val="7"/>
  </w:num>
  <w:num w:numId="5">
    <w:abstractNumId w:val="23"/>
  </w:num>
  <w:num w:numId="6">
    <w:abstractNumId w:val="15"/>
  </w:num>
  <w:num w:numId="7">
    <w:abstractNumId w:val="0"/>
  </w:num>
  <w:num w:numId="8">
    <w:abstractNumId w:val="9"/>
  </w:num>
  <w:num w:numId="9">
    <w:abstractNumId w:val="26"/>
  </w:num>
  <w:num w:numId="10">
    <w:abstractNumId w:val="21"/>
  </w:num>
  <w:num w:numId="11">
    <w:abstractNumId w:val="8"/>
  </w:num>
  <w:num w:numId="12">
    <w:abstractNumId w:val="20"/>
  </w:num>
  <w:num w:numId="13">
    <w:abstractNumId w:val="2"/>
  </w:num>
  <w:num w:numId="14">
    <w:abstractNumId w:val="22"/>
  </w:num>
  <w:num w:numId="15">
    <w:abstractNumId w:val="5"/>
  </w:num>
  <w:num w:numId="16">
    <w:abstractNumId w:val="18"/>
  </w:num>
  <w:num w:numId="17">
    <w:abstractNumId w:val="19"/>
  </w:num>
  <w:num w:numId="18">
    <w:abstractNumId w:val="25"/>
  </w:num>
  <w:num w:numId="19">
    <w:abstractNumId w:val="10"/>
  </w:num>
  <w:num w:numId="20">
    <w:abstractNumId w:val="3"/>
  </w:num>
  <w:num w:numId="21">
    <w:abstractNumId w:val="12"/>
  </w:num>
  <w:num w:numId="22">
    <w:abstractNumId w:val="17"/>
  </w:num>
  <w:num w:numId="23">
    <w:abstractNumId w:val="24"/>
  </w:num>
  <w:num w:numId="24">
    <w:abstractNumId w:val="16"/>
  </w:num>
  <w:num w:numId="25">
    <w:abstractNumId w:val="11"/>
  </w:num>
  <w:num w:numId="26">
    <w:abstractNumId w:val="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640"/>
    <w:rsid w:val="00011B5D"/>
    <w:rsid w:val="00030AF2"/>
    <w:rsid w:val="00032F71"/>
    <w:rsid w:val="00036427"/>
    <w:rsid w:val="00044A9E"/>
    <w:rsid w:val="00065E53"/>
    <w:rsid w:val="0009501E"/>
    <w:rsid w:val="000B542E"/>
    <w:rsid w:val="000B5A0C"/>
    <w:rsid w:val="000C4DE8"/>
    <w:rsid w:val="000D63DB"/>
    <w:rsid w:val="000D76E7"/>
    <w:rsid w:val="00156BF1"/>
    <w:rsid w:val="00166DA3"/>
    <w:rsid w:val="00173D46"/>
    <w:rsid w:val="001772CF"/>
    <w:rsid w:val="0018228D"/>
    <w:rsid w:val="001A180A"/>
    <w:rsid w:val="001C0E96"/>
    <w:rsid w:val="001C7389"/>
    <w:rsid w:val="001C73DC"/>
    <w:rsid w:val="00203D6F"/>
    <w:rsid w:val="00205895"/>
    <w:rsid w:val="00222042"/>
    <w:rsid w:val="00236F0A"/>
    <w:rsid w:val="00244B6F"/>
    <w:rsid w:val="00261927"/>
    <w:rsid w:val="00264A92"/>
    <w:rsid w:val="0028232D"/>
    <w:rsid w:val="002A4BC1"/>
    <w:rsid w:val="002B5ABF"/>
    <w:rsid w:val="002B64B6"/>
    <w:rsid w:val="002D28C6"/>
    <w:rsid w:val="002D7FB2"/>
    <w:rsid w:val="002E04E9"/>
    <w:rsid w:val="002E3787"/>
    <w:rsid w:val="002F62EE"/>
    <w:rsid w:val="00361F6D"/>
    <w:rsid w:val="0036399B"/>
    <w:rsid w:val="00364593"/>
    <w:rsid w:val="00375FD2"/>
    <w:rsid w:val="003A2619"/>
    <w:rsid w:val="003A7AF9"/>
    <w:rsid w:val="003B4599"/>
    <w:rsid w:val="003C1AFA"/>
    <w:rsid w:val="003C22F2"/>
    <w:rsid w:val="004009E3"/>
    <w:rsid w:val="004069C9"/>
    <w:rsid w:val="00416AAB"/>
    <w:rsid w:val="0043621B"/>
    <w:rsid w:val="00445CD7"/>
    <w:rsid w:val="00457D0B"/>
    <w:rsid w:val="0049157F"/>
    <w:rsid w:val="00493041"/>
    <w:rsid w:val="0049514E"/>
    <w:rsid w:val="004B0489"/>
    <w:rsid w:val="004B35DD"/>
    <w:rsid w:val="004B4345"/>
    <w:rsid w:val="004C511D"/>
    <w:rsid w:val="004D003F"/>
    <w:rsid w:val="00500C69"/>
    <w:rsid w:val="00503EC7"/>
    <w:rsid w:val="00503FAA"/>
    <w:rsid w:val="00532B7A"/>
    <w:rsid w:val="00532DE2"/>
    <w:rsid w:val="0054161B"/>
    <w:rsid w:val="00554225"/>
    <w:rsid w:val="00557757"/>
    <w:rsid w:val="0056759B"/>
    <w:rsid w:val="005741B1"/>
    <w:rsid w:val="005772C6"/>
    <w:rsid w:val="005A5EB5"/>
    <w:rsid w:val="005B68A4"/>
    <w:rsid w:val="005D1F85"/>
    <w:rsid w:val="005F02CA"/>
    <w:rsid w:val="005F0D7D"/>
    <w:rsid w:val="005F52E8"/>
    <w:rsid w:val="005F589F"/>
    <w:rsid w:val="006148A4"/>
    <w:rsid w:val="006155CD"/>
    <w:rsid w:val="00623796"/>
    <w:rsid w:val="00645F04"/>
    <w:rsid w:val="00650E42"/>
    <w:rsid w:val="00666B7C"/>
    <w:rsid w:val="006B1C3F"/>
    <w:rsid w:val="006C38FE"/>
    <w:rsid w:val="00715DB3"/>
    <w:rsid w:val="007179BC"/>
    <w:rsid w:val="007207B5"/>
    <w:rsid w:val="00724274"/>
    <w:rsid w:val="007270F6"/>
    <w:rsid w:val="007517F8"/>
    <w:rsid w:val="00766C29"/>
    <w:rsid w:val="00777A33"/>
    <w:rsid w:val="007A3869"/>
    <w:rsid w:val="007D1B18"/>
    <w:rsid w:val="007E1A8A"/>
    <w:rsid w:val="007F2424"/>
    <w:rsid w:val="007F7F79"/>
    <w:rsid w:val="008010C4"/>
    <w:rsid w:val="00811061"/>
    <w:rsid w:val="00822E19"/>
    <w:rsid w:val="00823BB3"/>
    <w:rsid w:val="0082713B"/>
    <w:rsid w:val="00854F11"/>
    <w:rsid w:val="00855128"/>
    <w:rsid w:val="00856CBC"/>
    <w:rsid w:val="00874D8A"/>
    <w:rsid w:val="0087711C"/>
    <w:rsid w:val="00877961"/>
    <w:rsid w:val="008C6BCC"/>
    <w:rsid w:val="008D5D55"/>
    <w:rsid w:val="008F58BD"/>
    <w:rsid w:val="00916ED7"/>
    <w:rsid w:val="009416BC"/>
    <w:rsid w:val="0095174C"/>
    <w:rsid w:val="00972459"/>
    <w:rsid w:val="00993E28"/>
    <w:rsid w:val="009957CA"/>
    <w:rsid w:val="00996FBB"/>
    <w:rsid w:val="00997721"/>
    <w:rsid w:val="009A0BAE"/>
    <w:rsid w:val="009A4737"/>
    <w:rsid w:val="009E64D7"/>
    <w:rsid w:val="009F1CBC"/>
    <w:rsid w:val="00A16BC5"/>
    <w:rsid w:val="00A34662"/>
    <w:rsid w:val="00A43BF4"/>
    <w:rsid w:val="00A54868"/>
    <w:rsid w:val="00A72D8C"/>
    <w:rsid w:val="00A7716F"/>
    <w:rsid w:val="00AC2DDB"/>
    <w:rsid w:val="00AD5C2A"/>
    <w:rsid w:val="00AE7B70"/>
    <w:rsid w:val="00AF39FF"/>
    <w:rsid w:val="00B040EA"/>
    <w:rsid w:val="00B13440"/>
    <w:rsid w:val="00B14AC6"/>
    <w:rsid w:val="00B16D48"/>
    <w:rsid w:val="00B42736"/>
    <w:rsid w:val="00B47339"/>
    <w:rsid w:val="00B57EE3"/>
    <w:rsid w:val="00B67201"/>
    <w:rsid w:val="00BA4C66"/>
    <w:rsid w:val="00BC48FB"/>
    <w:rsid w:val="00BE7D56"/>
    <w:rsid w:val="00BF1579"/>
    <w:rsid w:val="00BF1C32"/>
    <w:rsid w:val="00BF35C5"/>
    <w:rsid w:val="00C03C3B"/>
    <w:rsid w:val="00C156B2"/>
    <w:rsid w:val="00C52693"/>
    <w:rsid w:val="00C7164E"/>
    <w:rsid w:val="00C95C61"/>
    <w:rsid w:val="00CA2E61"/>
    <w:rsid w:val="00CC0B4C"/>
    <w:rsid w:val="00CD1F2C"/>
    <w:rsid w:val="00CF7653"/>
    <w:rsid w:val="00D03AD7"/>
    <w:rsid w:val="00D22930"/>
    <w:rsid w:val="00D34DA9"/>
    <w:rsid w:val="00D50079"/>
    <w:rsid w:val="00D856DB"/>
    <w:rsid w:val="00D860C7"/>
    <w:rsid w:val="00DA0C90"/>
    <w:rsid w:val="00DB7FB3"/>
    <w:rsid w:val="00DD2980"/>
    <w:rsid w:val="00E266F4"/>
    <w:rsid w:val="00E41D96"/>
    <w:rsid w:val="00E478AD"/>
    <w:rsid w:val="00E6558D"/>
    <w:rsid w:val="00E7143C"/>
    <w:rsid w:val="00E74A2E"/>
    <w:rsid w:val="00E76990"/>
    <w:rsid w:val="00EA4B1C"/>
    <w:rsid w:val="00EB6F22"/>
    <w:rsid w:val="00ED5DFD"/>
    <w:rsid w:val="00F23067"/>
    <w:rsid w:val="00F23085"/>
    <w:rsid w:val="00F419D1"/>
    <w:rsid w:val="00F422BB"/>
    <w:rsid w:val="00F54110"/>
    <w:rsid w:val="00F854E3"/>
    <w:rsid w:val="00FA4DEC"/>
    <w:rsid w:val="00FA7CE1"/>
    <w:rsid w:val="00FE7CBE"/>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0D7A5"/>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1347</TotalTime>
  <Pages>9</Pages>
  <Words>4447</Words>
  <Characters>26238</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151</cp:revision>
  <dcterms:created xsi:type="dcterms:W3CDTF">2016-10-13T10:03:00Z</dcterms:created>
  <dcterms:modified xsi:type="dcterms:W3CDTF">2024-02-23T09:59:00Z</dcterms:modified>
</cp:coreProperties>
</file>